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D5979" w14:textId="5F009507" w:rsidR="00240BC3" w:rsidRPr="005B55DB" w:rsidRDefault="00240BC3" w:rsidP="00612FD2">
      <w:pPr>
        <w:jc w:val="center"/>
      </w:pPr>
      <w:r w:rsidRPr="003F551C">
        <w:rPr>
          <w:noProof/>
        </w:rPr>
        <w:drawing>
          <wp:inline distT="0" distB="0" distL="0" distR="0" wp14:anchorId="0498F5AD" wp14:editId="16A3C8F5">
            <wp:extent cx="961390" cy="1004715"/>
            <wp:effectExtent l="0" t="0" r="0" b="5080"/>
            <wp:docPr id="2" name="Picture 2" descr="F:\ACTIVE\PubAff\AGO Logos\2013-Washington-AGO-BW-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IVE\PubAff\AGO Logos\2013-Washington-AGO-BW-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821" cy="1033382"/>
                    </a:xfrm>
                    <a:prstGeom prst="rect">
                      <a:avLst/>
                    </a:prstGeom>
                    <a:noFill/>
                    <a:ln>
                      <a:noFill/>
                    </a:ln>
                  </pic:spPr>
                </pic:pic>
              </a:graphicData>
            </a:graphic>
          </wp:inline>
        </w:drawing>
      </w:r>
    </w:p>
    <w:p w14:paraId="779CAFFE" w14:textId="77777777" w:rsidR="00682401" w:rsidRDefault="00682401" w:rsidP="00240BC3">
      <w:pPr>
        <w:jc w:val="center"/>
        <w:rPr>
          <w:b/>
          <w:sz w:val="32"/>
          <w:szCs w:val="32"/>
        </w:rPr>
      </w:pPr>
    </w:p>
    <w:p w14:paraId="024E67CE" w14:textId="3C006E85" w:rsidR="00240BC3" w:rsidRPr="005B55DB" w:rsidRDefault="00240BC3" w:rsidP="00240BC3">
      <w:pPr>
        <w:jc w:val="center"/>
        <w:rPr>
          <w:b/>
          <w:sz w:val="32"/>
          <w:szCs w:val="32"/>
        </w:rPr>
      </w:pPr>
      <w:r>
        <w:rPr>
          <w:b/>
          <w:sz w:val="32"/>
          <w:szCs w:val="32"/>
        </w:rPr>
        <w:t>Sexual Assault Coordinated Community Response Task Force</w:t>
      </w:r>
    </w:p>
    <w:p w14:paraId="14F0EC15" w14:textId="77777777" w:rsidR="000650BB" w:rsidRDefault="000650BB" w:rsidP="00240BC3">
      <w:pPr>
        <w:jc w:val="center"/>
        <w:rPr>
          <w:b/>
          <w:sz w:val="32"/>
          <w:szCs w:val="32"/>
        </w:rPr>
      </w:pPr>
    </w:p>
    <w:p w14:paraId="799D957A" w14:textId="6BCE7401" w:rsidR="00240BC3" w:rsidRDefault="00F4494F" w:rsidP="00240BC3">
      <w:pPr>
        <w:jc w:val="center"/>
        <w:rPr>
          <w:b/>
          <w:sz w:val="32"/>
          <w:szCs w:val="32"/>
        </w:rPr>
      </w:pPr>
      <w:r>
        <w:rPr>
          <w:b/>
          <w:sz w:val="32"/>
          <w:szCs w:val="32"/>
        </w:rPr>
        <w:t>October 28, 2021 Meeting Notes</w:t>
      </w:r>
    </w:p>
    <w:p w14:paraId="2D7C74D7" w14:textId="77777777" w:rsidR="000650BB" w:rsidRDefault="000650BB" w:rsidP="00240BC3">
      <w:pPr>
        <w:jc w:val="center"/>
        <w:rPr>
          <w:sz w:val="28"/>
          <w:szCs w:val="28"/>
        </w:rPr>
      </w:pPr>
    </w:p>
    <w:p w14:paraId="48EAE1C9" w14:textId="5B0E14EE" w:rsidR="00A85083" w:rsidRPr="00A85083" w:rsidRDefault="00A85083" w:rsidP="00A85083">
      <w:pPr>
        <w:jc w:val="center"/>
        <w:rPr>
          <w:b/>
          <w:bCs/>
          <w:szCs w:val="24"/>
          <w:lang w:val="en"/>
        </w:rPr>
      </w:pPr>
    </w:p>
    <w:tbl>
      <w:tblPr>
        <w:tblStyle w:val="TableGrid"/>
        <w:tblW w:w="10980" w:type="dxa"/>
        <w:tblInd w:w="-95" w:type="dxa"/>
        <w:tblLook w:val="04A0" w:firstRow="1" w:lastRow="0" w:firstColumn="1" w:lastColumn="0" w:noHBand="0" w:noVBand="1"/>
      </w:tblPr>
      <w:tblGrid>
        <w:gridCol w:w="450"/>
        <w:gridCol w:w="10530"/>
      </w:tblGrid>
      <w:tr w:rsidR="00063664" w:rsidRPr="00684594" w14:paraId="382AD305" w14:textId="77777777" w:rsidTr="00E15423">
        <w:trPr>
          <w:trHeight w:val="1268"/>
        </w:trPr>
        <w:tc>
          <w:tcPr>
            <w:tcW w:w="450" w:type="dxa"/>
          </w:tcPr>
          <w:p w14:paraId="39429F22" w14:textId="77777777" w:rsidR="00063664" w:rsidRPr="005B55DB" w:rsidRDefault="00063664" w:rsidP="00A52C15">
            <w:r>
              <w:t>1</w:t>
            </w:r>
            <w:r w:rsidRPr="005B55DB">
              <w:t>.</w:t>
            </w:r>
          </w:p>
        </w:tc>
        <w:tc>
          <w:tcPr>
            <w:tcW w:w="10530" w:type="dxa"/>
          </w:tcPr>
          <w:p w14:paraId="7A3AAD3B" w14:textId="178A4BFA" w:rsidR="00063664" w:rsidRPr="00E86A7D" w:rsidRDefault="00063664" w:rsidP="00A52C15">
            <w:pPr>
              <w:rPr>
                <w:b/>
                <w:szCs w:val="24"/>
              </w:rPr>
            </w:pPr>
            <w:r w:rsidRPr="00E86A7D">
              <w:rPr>
                <w:b/>
                <w:szCs w:val="24"/>
              </w:rPr>
              <w:t xml:space="preserve">Call to Order </w:t>
            </w:r>
          </w:p>
          <w:p w14:paraId="3A97C274" w14:textId="775EEB20" w:rsidR="00FE1022" w:rsidRDefault="000D7092" w:rsidP="00FE1022">
            <w:pPr>
              <w:pStyle w:val="TableParagraph"/>
              <w:numPr>
                <w:ilvl w:val="0"/>
                <w:numId w:val="20"/>
              </w:numPr>
              <w:spacing w:before="86"/>
              <w:ind w:right="652"/>
              <w:rPr>
                <w:sz w:val="24"/>
              </w:rPr>
            </w:pPr>
            <w:r>
              <w:rPr>
                <w:sz w:val="24"/>
              </w:rPr>
              <w:t>Fourteen</w:t>
            </w:r>
            <w:r w:rsidR="00FE1022">
              <w:rPr>
                <w:sz w:val="24"/>
              </w:rPr>
              <w:t xml:space="preserve"> Task Force members were present, which is a quorum.  See attendee list below.</w:t>
            </w:r>
          </w:p>
          <w:p w14:paraId="6B0BC197" w14:textId="1DB2E3DF" w:rsidR="00FE1022" w:rsidRDefault="00FE1022" w:rsidP="00FE1022">
            <w:pPr>
              <w:pStyle w:val="TableParagraph"/>
              <w:numPr>
                <w:ilvl w:val="0"/>
                <w:numId w:val="20"/>
              </w:numPr>
              <w:spacing w:before="86"/>
              <w:ind w:right="652"/>
              <w:rPr>
                <w:sz w:val="24"/>
              </w:rPr>
            </w:pPr>
            <w:r>
              <w:rPr>
                <w:sz w:val="24"/>
              </w:rPr>
              <w:t>The Task Force adopted the agenda for the October 28</w:t>
            </w:r>
            <w:r w:rsidRPr="00FE1022">
              <w:rPr>
                <w:sz w:val="24"/>
                <w:vertAlign w:val="superscript"/>
              </w:rPr>
              <w:t>th</w:t>
            </w:r>
            <w:r>
              <w:rPr>
                <w:sz w:val="24"/>
              </w:rPr>
              <w:t xml:space="preserve"> meeting.</w:t>
            </w:r>
          </w:p>
          <w:p w14:paraId="3D0EBBCF" w14:textId="4C6454BC" w:rsidR="00FE1022" w:rsidRDefault="00FE1022" w:rsidP="00FE1022">
            <w:pPr>
              <w:pStyle w:val="TableParagraph"/>
              <w:numPr>
                <w:ilvl w:val="0"/>
                <w:numId w:val="20"/>
              </w:numPr>
              <w:spacing w:before="86"/>
              <w:ind w:right="652"/>
              <w:rPr>
                <w:sz w:val="24"/>
              </w:rPr>
            </w:pPr>
            <w:r>
              <w:rPr>
                <w:sz w:val="24"/>
              </w:rPr>
              <w:t>The T</w:t>
            </w:r>
            <w:r w:rsidR="000D7092">
              <w:rPr>
                <w:sz w:val="24"/>
              </w:rPr>
              <w:t>ask Force approved the notes from</w:t>
            </w:r>
            <w:r>
              <w:rPr>
                <w:sz w:val="24"/>
              </w:rPr>
              <w:t xml:space="preserve"> the September 22</w:t>
            </w:r>
            <w:r w:rsidRPr="00FE1022">
              <w:rPr>
                <w:sz w:val="24"/>
                <w:vertAlign w:val="superscript"/>
              </w:rPr>
              <w:t>nd</w:t>
            </w:r>
            <w:r>
              <w:rPr>
                <w:sz w:val="24"/>
              </w:rPr>
              <w:t xml:space="preserve"> meeting.  </w:t>
            </w:r>
          </w:p>
          <w:p w14:paraId="5C4E7E03" w14:textId="77777777" w:rsidR="00FE1022" w:rsidRDefault="00FE1022" w:rsidP="00FE1022">
            <w:pPr>
              <w:pStyle w:val="Title"/>
              <w:ind w:left="648" w:right="648"/>
              <w:jc w:val="left"/>
              <w:rPr>
                <w:spacing w:val="-4"/>
                <w:sz w:val="24"/>
                <w:szCs w:val="24"/>
              </w:rPr>
            </w:pPr>
          </w:p>
          <w:p w14:paraId="461E8B36" w14:textId="6BCEFF7E" w:rsidR="00FE1022" w:rsidRDefault="00FE1022" w:rsidP="000D7092">
            <w:pPr>
              <w:pStyle w:val="Title"/>
              <w:ind w:left="0" w:right="648"/>
              <w:jc w:val="left"/>
              <w:rPr>
                <w:b w:val="0"/>
                <w:spacing w:val="-4"/>
                <w:sz w:val="24"/>
                <w:szCs w:val="24"/>
              </w:rPr>
            </w:pPr>
            <w:r w:rsidRPr="000D7092">
              <w:rPr>
                <w:spacing w:val="-4"/>
                <w:sz w:val="24"/>
                <w:szCs w:val="24"/>
              </w:rPr>
              <w:t>Members in Attendance:</w:t>
            </w:r>
            <w:r w:rsidRPr="000D7092">
              <w:rPr>
                <w:b w:val="0"/>
                <w:spacing w:val="-4"/>
                <w:sz w:val="24"/>
                <w:szCs w:val="24"/>
              </w:rPr>
              <w:t xml:space="preserve"> Maria </w:t>
            </w:r>
            <w:proofErr w:type="spellStart"/>
            <w:r w:rsidRPr="000D7092">
              <w:rPr>
                <w:b w:val="0"/>
                <w:spacing w:val="-4"/>
                <w:sz w:val="24"/>
                <w:szCs w:val="24"/>
              </w:rPr>
              <w:t>Aceves</w:t>
            </w:r>
            <w:proofErr w:type="spellEnd"/>
            <w:r w:rsidRPr="000D7092">
              <w:rPr>
                <w:spacing w:val="-4"/>
                <w:sz w:val="24"/>
                <w:szCs w:val="24"/>
              </w:rPr>
              <w:t xml:space="preserve">, </w:t>
            </w:r>
            <w:r w:rsidRPr="000D7092">
              <w:rPr>
                <w:b w:val="0"/>
                <w:spacing w:val="-4"/>
                <w:sz w:val="24"/>
                <w:szCs w:val="24"/>
              </w:rPr>
              <w:t xml:space="preserve">Flora Diaz, </w:t>
            </w:r>
            <w:r w:rsidR="00F123FC" w:rsidRPr="000D7092">
              <w:rPr>
                <w:b w:val="0"/>
                <w:spacing w:val="-4"/>
                <w:sz w:val="24"/>
                <w:szCs w:val="24"/>
              </w:rPr>
              <w:t xml:space="preserve">Alicia </w:t>
            </w:r>
            <w:proofErr w:type="spellStart"/>
            <w:r w:rsidR="00F123FC" w:rsidRPr="000D7092">
              <w:rPr>
                <w:b w:val="0"/>
                <w:spacing w:val="-4"/>
                <w:sz w:val="24"/>
                <w:szCs w:val="24"/>
              </w:rPr>
              <w:t>Eyler</w:t>
            </w:r>
            <w:proofErr w:type="spellEnd"/>
            <w:r w:rsidR="00F123FC" w:rsidRPr="000D7092">
              <w:rPr>
                <w:b w:val="0"/>
                <w:spacing w:val="-4"/>
                <w:sz w:val="24"/>
                <w:szCs w:val="24"/>
              </w:rPr>
              <w:t xml:space="preserve">, Suzi </w:t>
            </w:r>
            <w:proofErr w:type="spellStart"/>
            <w:r w:rsidR="00F123FC" w:rsidRPr="000D7092">
              <w:rPr>
                <w:b w:val="0"/>
                <w:spacing w:val="-4"/>
                <w:sz w:val="24"/>
                <w:szCs w:val="24"/>
              </w:rPr>
              <w:t>Fode</w:t>
            </w:r>
            <w:proofErr w:type="spellEnd"/>
            <w:r w:rsidR="00F123FC" w:rsidRPr="000D7092">
              <w:rPr>
                <w:b w:val="0"/>
                <w:spacing w:val="-4"/>
                <w:sz w:val="24"/>
                <w:szCs w:val="24"/>
              </w:rPr>
              <w:t xml:space="preserve">, </w:t>
            </w:r>
            <w:r w:rsidR="009839BD">
              <w:rPr>
                <w:b w:val="0"/>
                <w:spacing w:val="-4"/>
                <w:sz w:val="24"/>
                <w:szCs w:val="24"/>
              </w:rPr>
              <w:t xml:space="preserve">Alissa Hawks, </w:t>
            </w:r>
            <w:r w:rsidRPr="000D7092">
              <w:rPr>
                <w:b w:val="0"/>
                <w:spacing w:val="-4"/>
                <w:sz w:val="24"/>
                <w:szCs w:val="24"/>
              </w:rPr>
              <w:t xml:space="preserve">Kate Hemann, Ashley Jackson (on behalf of Senator </w:t>
            </w:r>
            <w:proofErr w:type="spellStart"/>
            <w:r w:rsidRPr="000D7092">
              <w:rPr>
                <w:b w:val="0"/>
                <w:spacing w:val="-4"/>
                <w:sz w:val="24"/>
                <w:szCs w:val="24"/>
              </w:rPr>
              <w:t>Manka</w:t>
            </w:r>
            <w:proofErr w:type="spellEnd"/>
            <w:r w:rsidRPr="000D7092">
              <w:rPr>
                <w:b w:val="0"/>
                <w:spacing w:val="-4"/>
                <w:sz w:val="24"/>
                <w:szCs w:val="24"/>
              </w:rPr>
              <w:t xml:space="preserve"> </w:t>
            </w:r>
            <w:proofErr w:type="spellStart"/>
            <w:r w:rsidRPr="000D7092">
              <w:rPr>
                <w:b w:val="0"/>
                <w:spacing w:val="-4"/>
                <w:sz w:val="24"/>
                <w:szCs w:val="24"/>
              </w:rPr>
              <w:t>Dhingra</w:t>
            </w:r>
            <w:proofErr w:type="spellEnd"/>
            <w:r w:rsidRPr="000D7092">
              <w:rPr>
                <w:b w:val="0"/>
                <w:spacing w:val="-4"/>
                <w:sz w:val="24"/>
                <w:szCs w:val="24"/>
              </w:rPr>
              <w:t xml:space="preserve">), </w:t>
            </w:r>
            <w:r w:rsidR="00F123FC" w:rsidRPr="000D7092">
              <w:rPr>
                <w:b w:val="0"/>
                <w:spacing w:val="-4"/>
                <w:sz w:val="24"/>
                <w:szCs w:val="24"/>
              </w:rPr>
              <w:t xml:space="preserve">Katerina LaMarche, Representative Gina </w:t>
            </w:r>
            <w:proofErr w:type="spellStart"/>
            <w:r w:rsidR="00F123FC" w:rsidRPr="000D7092">
              <w:rPr>
                <w:b w:val="0"/>
                <w:spacing w:val="-4"/>
                <w:sz w:val="24"/>
                <w:szCs w:val="24"/>
              </w:rPr>
              <w:t>Mosbrucker</w:t>
            </w:r>
            <w:proofErr w:type="spellEnd"/>
            <w:r w:rsidR="00F123FC" w:rsidRPr="000D7092">
              <w:rPr>
                <w:b w:val="0"/>
                <w:spacing w:val="-4"/>
                <w:sz w:val="24"/>
                <w:szCs w:val="24"/>
              </w:rPr>
              <w:t xml:space="preserve">, </w:t>
            </w:r>
            <w:r w:rsidRPr="000D7092">
              <w:rPr>
                <w:b w:val="0"/>
                <w:spacing w:val="-4"/>
                <w:sz w:val="24"/>
                <w:szCs w:val="24"/>
              </w:rPr>
              <w:t xml:space="preserve">Representative Tina </w:t>
            </w:r>
            <w:proofErr w:type="spellStart"/>
            <w:r w:rsidRPr="000D7092">
              <w:rPr>
                <w:b w:val="0"/>
                <w:spacing w:val="-4"/>
                <w:sz w:val="24"/>
                <w:szCs w:val="24"/>
              </w:rPr>
              <w:t>Orwall</w:t>
            </w:r>
            <w:proofErr w:type="spellEnd"/>
            <w:r w:rsidRPr="000D7092">
              <w:rPr>
                <w:b w:val="0"/>
                <w:spacing w:val="-4"/>
                <w:sz w:val="24"/>
                <w:szCs w:val="24"/>
              </w:rPr>
              <w:t>, Paula Reed, Senator Shelly Short, Terri Stewart</w:t>
            </w:r>
            <w:r w:rsidR="00F123FC" w:rsidRPr="000D7092">
              <w:rPr>
                <w:b w:val="0"/>
                <w:spacing w:val="-4"/>
                <w:sz w:val="24"/>
                <w:szCs w:val="24"/>
              </w:rPr>
              <w:t xml:space="preserve">, </w:t>
            </w:r>
            <w:proofErr w:type="spellStart"/>
            <w:r w:rsidR="00F123FC" w:rsidRPr="000D7092">
              <w:rPr>
                <w:b w:val="0"/>
                <w:spacing w:val="-4"/>
                <w:sz w:val="24"/>
                <w:szCs w:val="24"/>
              </w:rPr>
              <w:t>Deann</w:t>
            </w:r>
            <w:proofErr w:type="spellEnd"/>
            <w:r w:rsidR="00F123FC" w:rsidRPr="000D7092">
              <w:rPr>
                <w:b w:val="0"/>
                <w:spacing w:val="-4"/>
                <w:sz w:val="24"/>
                <w:szCs w:val="24"/>
              </w:rPr>
              <w:t xml:space="preserve"> Yamamoto</w:t>
            </w:r>
          </w:p>
          <w:p w14:paraId="33AE6CB2" w14:textId="34BE8D5E" w:rsidR="00657BC3" w:rsidRPr="00292791" w:rsidRDefault="00657BC3" w:rsidP="000D7092">
            <w:pPr>
              <w:pStyle w:val="Title"/>
              <w:ind w:left="0" w:right="648"/>
              <w:jc w:val="left"/>
              <w:rPr>
                <w:b w:val="0"/>
                <w:spacing w:val="-4"/>
                <w:sz w:val="24"/>
                <w:szCs w:val="24"/>
              </w:rPr>
            </w:pPr>
            <w:r w:rsidRPr="00CA6A43">
              <w:rPr>
                <w:spacing w:val="-4"/>
                <w:sz w:val="24"/>
                <w:szCs w:val="24"/>
              </w:rPr>
              <w:t>Participants</w:t>
            </w:r>
            <w:r>
              <w:rPr>
                <w:b w:val="0"/>
                <w:spacing w:val="-4"/>
                <w:sz w:val="24"/>
                <w:szCs w:val="24"/>
              </w:rPr>
              <w:t xml:space="preserve">: </w:t>
            </w:r>
            <w:r w:rsidR="00CA6A43">
              <w:rPr>
                <w:b w:val="0"/>
                <w:spacing w:val="-4"/>
                <w:sz w:val="24"/>
                <w:szCs w:val="24"/>
              </w:rPr>
              <w:t xml:space="preserve">Kelly Boyle, </w:t>
            </w:r>
            <w:r>
              <w:rPr>
                <w:b w:val="0"/>
                <w:spacing w:val="-4"/>
                <w:sz w:val="24"/>
                <w:szCs w:val="24"/>
              </w:rPr>
              <w:t xml:space="preserve">Christina Delgado, </w:t>
            </w:r>
            <w:r w:rsidR="00CA6A43">
              <w:rPr>
                <w:b w:val="0"/>
                <w:spacing w:val="-4"/>
                <w:sz w:val="24"/>
                <w:szCs w:val="24"/>
              </w:rPr>
              <w:t xml:space="preserve">Jacob Ewing, Tarassa Froberg, </w:t>
            </w:r>
            <w:r>
              <w:rPr>
                <w:b w:val="0"/>
                <w:spacing w:val="-4"/>
                <w:sz w:val="24"/>
                <w:szCs w:val="24"/>
              </w:rPr>
              <w:t xml:space="preserve">Heather McLeod, Jim Nelson, </w:t>
            </w:r>
            <w:r w:rsidR="00CA6A43">
              <w:rPr>
                <w:b w:val="0"/>
                <w:spacing w:val="-4"/>
                <w:sz w:val="24"/>
                <w:szCs w:val="24"/>
              </w:rPr>
              <w:t xml:space="preserve">Cameron Norton, </w:t>
            </w:r>
            <w:r>
              <w:rPr>
                <w:b w:val="0"/>
                <w:spacing w:val="-4"/>
                <w:sz w:val="24"/>
                <w:szCs w:val="24"/>
              </w:rPr>
              <w:t xml:space="preserve">Roger Pedersen, Patti Powers, Kelly Richburg, Lisa </w:t>
            </w:r>
            <w:proofErr w:type="spellStart"/>
            <w:r>
              <w:rPr>
                <w:b w:val="0"/>
                <w:spacing w:val="-4"/>
                <w:sz w:val="24"/>
                <w:szCs w:val="24"/>
              </w:rPr>
              <w:t>Ripplinger</w:t>
            </w:r>
            <w:proofErr w:type="spellEnd"/>
            <w:r>
              <w:rPr>
                <w:b w:val="0"/>
                <w:spacing w:val="-4"/>
                <w:sz w:val="24"/>
                <w:szCs w:val="24"/>
              </w:rPr>
              <w:t xml:space="preserve">, </w:t>
            </w:r>
            <w:r w:rsidR="00CA6A43">
              <w:rPr>
                <w:b w:val="0"/>
                <w:spacing w:val="-4"/>
                <w:sz w:val="24"/>
                <w:szCs w:val="24"/>
              </w:rPr>
              <w:t xml:space="preserve">Jo Shelton, Matthew Tremble, </w:t>
            </w:r>
            <w:r>
              <w:rPr>
                <w:b w:val="0"/>
                <w:spacing w:val="-4"/>
                <w:sz w:val="24"/>
                <w:szCs w:val="24"/>
              </w:rPr>
              <w:t>Lauren Vlas</w:t>
            </w:r>
          </w:p>
          <w:p w14:paraId="6429F1B7" w14:textId="1750D61F" w:rsidR="00063664" w:rsidRPr="00684594" w:rsidRDefault="00063664" w:rsidP="00A52C15">
            <w:pPr>
              <w:rPr>
                <w:szCs w:val="24"/>
              </w:rPr>
            </w:pPr>
          </w:p>
        </w:tc>
      </w:tr>
      <w:tr w:rsidR="000D7092" w:rsidRPr="00684594" w14:paraId="571A61B3" w14:textId="77777777" w:rsidTr="00756402">
        <w:trPr>
          <w:trHeight w:val="2195"/>
        </w:trPr>
        <w:tc>
          <w:tcPr>
            <w:tcW w:w="450" w:type="dxa"/>
          </w:tcPr>
          <w:p w14:paraId="0FD4F73A" w14:textId="08E4C2DE" w:rsidR="000D7092" w:rsidRDefault="000D7092" w:rsidP="00551DA7">
            <w:r>
              <w:t>2.</w:t>
            </w:r>
          </w:p>
        </w:tc>
        <w:tc>
          <w:tcPr>
            <w:tcW w:w="10530" w:type="dxa"/>
          </w:tcPr>
          <w:p w14:paraId="7B3C4A2E" w14:textId="3BE860AA" w:rsidR="000D7092" w:rsidRPr="000D7092" w:rsidRDefault="000D7092" w:rsidP="00551DA7">
            <w:pPr>
              <w:rPr>
                <w:b/>
                <w:szCs w:val="24"/>
              </w:rPr>
            </w:pPr>
            <w:r w:rsidRPr="000D7092">
              <w:rPr>
                <w:b/>
                <w:szCs w:val="24"/>
              </w:rPr>
              <w:t xml:space="preserve">Discussion: law enforcement certification program offering reporting choices for survivors  </w:t>
            </w:r>
          </w:p>
          <w:p w14:paraId="5F718EF2" w14:textId="77777777" w:rsidR="000D7092" w:rsidRPr="000D7092" w:rsidRDefault="000D7092" w:rsidP="00551DA7">
            <w:pPr>
              <w:rPr>
                <w:szCs w:val="24"/>
              </w:rPr>
            </w:pPr>
          </w:p>
          <w:p w14:paraId="794030E9" w14:textId="23C57AC6" w:rsidR="00F62A6B" w:rsidRPr="000D7092" w:rsidRDefault="000D7092" w:rsidP="000D7092">
            <w:pPr>
              <w:rPr>
                <w:szCs w:val="24"/>
              </w:rPr>
            </w:pPr>
            <w:r>
              <w:rPr>
                <w:szCs w:val="24"/>
              </w:rPr>
              <w:t xml:space="preserve">Staff provided an overview of the </w:t>
            </w:r>
            <w:r w:rsidRPr="000D7092">
              <w:rPr>
                <w:szCs w:val="24"/>
              </w:rPr>
              <w:t>“</w:t>
            </w:r>
            <w:hyperlink r:id="rId9" w:history="1">
              <w:r w:rsidRPr="000D7092">
                <w:rPr>
                  <w:szCs w:val="24"/>
                </w:rPr>
                <w:t>You Have Options</w:t>
              </w:r>
            </w:hyperlink>
            <w:r w:rsidRPr="000D7092">
              <w:rPr>
                <w:szCs w:val="24"/>
              </w:rPr>
              <w:t xml:space="preserve">” program.  </w:t>
            </w:r>
            <w:r w:rsidR="00F62A6B">
              <w:rPr>
                <w:szCs w:val="24"/>
              </w:rPr>
              <w:t xml:space="preserve">This program was </w:t>
            </w:r>
            <w:r w:rsidRPr="000D7092">
              <w:rPr>
                <w:szCs w:val="24"/>
              </w:rPr>
              <w:t>founded by</w:t>
            </w:r>
            <w:r w:rsidR="00F62A6B">
              <w:rPr>
                <w:szCs w:val="24"/>
              </w:rPr>
              <w:t xml:space="preserve"> law enforcement professionals to provide </w:t>
            </w:r>
            <w:r w:rsidRPr="000D7092">
              <w:rPr>
                <w:szCs w:val="24"/>
              </w:rPr>
              <w:t xml:space="preserve">uniformity and accountability through training and technical assistance to law enforcement agencies committed to the highest standards of response to victims of </w:t>
            </w:r>
            <w:r w:rsidR="00F62A6B">
              <w:rPr>
                <w:szCs w:val="24"/>
              </w:rPr>
              <w:t>sexual violence.  The program has three goals</w:t>
            </w:r>
            <w:r w:rsidRPr="000D7092">
              <w:rPr>
                <w:szCs w:val="24"/>
              </w:rPr>
              <w:t xml:space="preserve">: </w:t>
            </w:r>
          </w:p>
          <w:p w14:paraId="20269660" w14:textId="57536EE6" w:rsidR="000D7092" w:rsidRPr="00F62A6B" w:rsidRDefault="000D7092" w:rsidP="00F62A6B">
            <w:pPr>
              <w:ind w:left="360"/>
              <w:rPr>
                <w:szCs w:val="24"/>
              </w:rPr>
            </w:pPr>
            <w:r w:rsidRPr="00F62A6B">
              <w:rPr>
                <w:szCs w:val="24"/>
              </w:rPr>
              <w:t>1) Increase the number of persons who report sexual assault to law enforcement.</w:t>
            </w:r>
          </w:p>
          <w:p w14:paraId="0363B1A7" w14:textId="74A60EB1" w:rsidR="000D7092" w:rsidRPr="00F62A6B" w:rsidRDefault="000D7092" w:rsidP="00F62A6B">
            <w:pPr>
              <w:ind w:left="360"/>
              <w:rPr>
                <w:szCs w:val="24"/>
              </w:rPr>
            </w:pPr>
            <w:r w:rsidRPr="00F62A6B">
              <w:rPr>
                <w:szCs w:val="24"/>
              </w:rPr>
              <w:t>2) Increase the identification and investigation of sexual offenders.</w:t>
            </w:r>
          </w:p>
          <w:p w14:paraId="22A2FFCE" w14:textId="7A16E503" w:rsidR="000D7092" w:rsidRPr="00F62A6B" w:rsidRDefault="000D7092" w:rsidP="00F62A6B">
            <w:pPr>
              <w:ind w:left="360"/>
              <w:rPr>
                <w:szCs w:val="24"/>
              </w:rPr>
            </w:pPr>
            <w:r w:rsidRPr="00F62A6B">
              <w:rPr>
                <w:szCs w:val="24"/>
              </w:rPr>
              <w:t>3) Provide a law enforcement response to sexual violence that is beneficial to both victims and the criminal justice system.</w:t>
            </w:r>
          </w:p>
          <w:p w14:paraId="5B00A625" w14:textId="77777777" w:rsidR="00F62A6B" w:rsidRDefault="00F62A6B" w:rsidP="000D7092">
            <w:pPr>
              <w:rPr>
                <w:szCs w:val="24"/>
              </w:rPr>
            </w:pPr>
          </w:p>
          <w:p w14:paraId="64DA94BE" w14:textId="2C3AF2D7" w:rsidR="000D7092" w:rsidRDefault="000D7092" w:rsidP="000D7092">
            <w:pPr>
              <w:rPr>
                <w:szCs w:val="24"/>
              </w:rPr>
            </w:pPr>
            <w:r w:rsidRPr="000D7092">
              <w:rPr>
                <w:szCs w:val="24"/>
              </w:rPr>
              <w:t xml:space="preserve">For victims and survivors who live in a </w:t>
            </w:r>
            <w:r w:rsidR="00F62A6B" w:rsidRPr="000D7092">
              <w:rPr>
                <w:szCs w:val="24"/>
              </w:rPr>
              <w:t>jurisdiction</w:t>
            </w:r>
            <w:r w:rsidRPr="000D7092">
              <w:rPr>
                <w:szCs w:val="24"/>
              </w:rPr>
              <w:t xml:space="preserve"> with a law enforcement agency that is a certified provider of the program, they have three options where they can remain in control and feel supported in sharing as much or as little about their experience as they would like,</w:t>
            </w:r>
            <w:r w:rsidR="00F62A6B">
              <w:rPr>
                <w:szCs w:val="24"/>
              </w:rPr>
              <w:t xml:space="preserve"> without any fear or pressure. Options include providing </w:t>
            </w:r>
            <w:r w:rsidRPr="000D7092">
              <w:rPr>
                <w:szCs w:val="24"/>
              </w:rPr>
              <w:t xml:space="preserve">information </w:t>
            </w:r>
            <w:r w:rsidR="00F62A6B">
              <w:rPr>
                <w:szCs w:val="24"/>
              </w:rPr>
              <w:t xml:space="preserve">to law enforcement </w:t>
            </w:r>
            <w:r w:rsidRPr="000D7092">
              <w:rPr>
                <w:szCs w:val="24"/>
              </w:rPr>
              <w:t xml:space="preserve">only, </w:t>
            </w:r>
            <w:r w:rsidR="00F62A6B">
              <w:rPr>
                <w:szCs w:val="24"/>
              </w:rPr>
              <w:t xml:space="preserve">moving forward with a </w:t>
            </w:r>
            <w:r w:rsidRPr="000D7092">
              <w:rPr>
                <w:szCs w:val="24"/>
              </w:rPr>
              <w:t xml:space="preserve">partial investigation or </w:t>
            </w:r>
            <w:r w:rsidR="00F62A6B">
              <w:rPr>
                <w:szCs w:val="24"/>
              </w:rPr>
              <w:t>participating in a complete investigation.  Survivors can</w:t>
            </w:r>
            <w:r w:rsidRPr="000D7092">
              <w:rPr>
                <w:szCs w:val="24"/>
              </w:rPr>
              <w:t xml:space="preserve"> report online, over the phone or in-person. </w:t>
            </w:r>
          </w:p>
          <w:p w14:paraId="6C82EBAF" w14:textId="77777777" w:rsidR="00F62A6B" w:rsidRPr="000D7092" w:rsidRDefault="00F62A6B" w:rsidP="000D7092">
            <w:pPr>
              <w:rPr>
                <w:szCs w:val="24"/>
              </w:rPr>
            </w:pPr>
          </w:p>
          <w:p w14:paraId="3089216E" w14:textId="5D87C9E5" w:rsidR="00A67E7E" w:rsidRDefault="00A67E7E" w:rsidP="00A67E7E">
            <w:pPr>
              <w:rPr>
                <w:szCs w:val="24"/>
              </w:rPr>
            </w:pPr>
            <w:r>
              <w:rPr>
                <w:szCs w:val="24"/>
              </w:rPr>
              <w:t xml:space="preserve">The Task Force had an opportunity to learn from Patti Powers, </w:t>
            </w:r>
            <w:r w:rsidR="000D7092" w:rsidRPr="000D7092">
              <w:rPr>
                <w:szCs w:val="24"/>
              </w:rPr>
              <w:t xml:space="preserve">an Attorney Advisor for </w:t>
            </w:r>
            <w:proofErr w:type="spellStart"/>
            <w:r w:rsidR="000D7092" w:rsidRPr="000D7092">
              <w:rPr>
                <w:szCs w:val="24"/>
              </w:rPr>
              <w:t>AEquitas</w:t>
            </w:r>
            <w:proofErr w:type="spellEnd"/>
            <w:r w:rsidR="000D7092" w:rsidRPr="000D7092">
              <w:rPr>
                <w:szCs w:val="24"/>
              </w:rPr>
              <w:t xml:space="preserve">, </w:t>
            </w:r>
            <w:r>
              <w:rPr>
                <w:szCs w:val="24"/>
              </w:rPr>
              <w:t xml:space="preserve">a nonprofit organization focused on </w:t>
            </w:r>
            <w:r w:rsidRPr="00A67E7E">
              <w:rPr>
                <w:szCs w:val="24"/>
              </w:rPr>
              <w:t>refining prosecution practices related to gender-based violence</w:t>
            </w:r>
            <w:r w:rsidR="00BF2A91">
              <w:rPr>
                <w:szCs w:val="24"/>
              </w:rPr>
              <w:t>,</w:t>
            </w:r>
            <w:r w:rsidRPr="00A67E7E">
              <w:rPr>
                <w:szCs w:val="24"/>
              </w:rPr>
              <w:t xml:space="preserve"> and </w:t>
            </w:r>
            <w:r w:rsidRPr="000D7092">
              <w:rPr>
                <w:szCs w:val="24"/>
              </w:rPr>
              <w:t>Ga</w:t>
            </w:r>
            <w:r w:rsidR="00657BC3">
              <w:rPr>
                <w:szCs w:val="24"/>
              </w:rPr>
              <w:t>rfield County Commissioner Jim</w:t>
            </w:r>
            <w:r w:rsidRPr="000D7092">
              <w:rPr>
                <w:szCs w:val="24"/>
              </w:rPr>
              <w:t xml:space="preserve"> Nelson</w:t>
            </w:r>
            <w:r>
              <w:rPr>
                <w:szCs w:val="24"/>
              </w:rPr>
              <w:t xml:space="preserve">, who previously served as the lead sexual assault investigator in the Garfield County Sheriff’s Office, an agency that </w:t>
            </w:r>
            <w:r w:rsidR="00BF2A91">
              <w:rPr>
                <w:szCs w:val="24"/>
              </w:rPr>
              <w:t>has fully implemented</w:t>
            </w:r>
            <w:r>
              <w:rPr>
                <w:szCs w:val="24"/>
              </w:rPr>
              <w:t xml:space="preserve"> the You Have Options program</w:t>
            </w:r>
            <w:r w:rsidR="00BF2A91">
              <w:rPr>
                <w:szCs w:val="24"/>
              </w:rPr>
              <w:t xml:space="preserve"> since 2015</w:t>
            </w:r>
            <w:r>
              <w:rPr>
                <w:szCs w:val="24"/>
              </w:rPr>
              <w:t xml:space="preserve">. </w:t>
            </w:r>
            <w:r w:rsidRPr="000D7092">
              <w:rPr>
                <w:szCs w:val="24"/>
              </w:rPr>
              <w:t xml:space="preserve"> </w:t>
            </w:r>
            <w:r w:rsidR="00683BC9">
              <w:rPr>
                <w:szCs w:val="24"/>
              </w:rPr>
              <w:t xml:space="preserve">In 2014, Garfield County participated in the “Start by Believing” campaign, which involved community-wide education.  </w:t>
            </w:r>
            <w:r w:rsidR="00BF2A91">
              <w:rPr>
                <w:szCs w:val="24"/>
              </w:rPr>
              <w:t xml:space="preserve">Mr. Nelson shared that, in his view, the You Have Options </w:t>
            </w:r>
            <w:r w:rsidR="00BF2A91">
              <w:rPr>
                <w:szCs w:val="24"/>
              </w:rPr>
              <w:lastRenderedPageBreak/>
              <w:t xml:space="preserve">program is an extremely effective way of holding perpetrators accountable, while enabling victims to steer the ship at their own pace and restore some of control that was taken from them during the assault.  He emphasized the </w:t>
            </w:r>
            <w:r w:rsidR="00683BC9">
              <w:rPr>
                <w:szCs w:val="24"/>
              </w:rPr>
              <w:t>importance of allowing victims to change their minds at any time and including advocates in decision-making.  Victims were more satisfied with this approach and word spread.  Mr. Nelson</w:t>
            </w:r>
            <w:r w:rsidR="004429D5">
              <w:rPr>
                <w:szCs w:val="24"/>
              </w:rPr>
              <w:t xml:space="preserve"> shared that some victims in a neighboring county wanted to report to Garfield County.  In his experience, only a few cases </w:t>
            </w:r>
            <w:r w:rsidR="0008122A">
              <w:rPr>
                <w:szCs w:val="24"/>
              </w:rPr>
              <w:t>ended up with victims providing information only; most proceeded to full investigations.  Garfield County did not see an increase in online reporting</w:t>
            </w:r>
            <w:r w:rsidR="009839BD">
              <w:rPr>
                <w:szCs w:val="24"/>
              </w:rPr>
              <w:t>.  Garfield County’s implementation of the program was facilitated by a $90,000 3-year grant from the Office of Crime Victims Advocacy, which was used for training.</w:t>
            </w:r>
          </w:p>
          <w:p w14:paraId="0ECC8516" w14:textId="7497F3A5" w:rsidR="000D7092" w:rsidRDefault="000D7092" w:rsidP="00A67E7E">
            <w:pPr>
              <w:rPr>
                <w:szCs w:val="24"/>
              </w:rPr>
            </w:pPr>
          </w:p>
        </w:tc>
      </w:tr>
      <w:tr w:rsidR="0059099D" w:rsidRPr="00684594" w14:paraId="06AD6973" w14:textId="77777777" w:rsidTr="005C18CF">
        <w:trPr>
          <w:trHeight w:val="2519"/>
        </w:trPr>
        <w:tc>
          <w:tcPr>
            <w:tcW w:w="450" w:type="dxa"/>
          </w:tcPr>
          <w:p w14:paraId="5DEE42FA" w14:textId="7FA3B68B" w:rsidR="0059099D" w:rsidRPr="005B55DB" w:rsidRDefault="0059099D" w:rsidP="00A52C15">
            <w:r>
              <w:lastRenderedPageBreak/>
              <w:t>3</w:t>
            </w:r>
            <w:r w:rsidRPr="005B55DB">
              <w:t>.</w:t>
            </w:r>
          </w:p>
        </w:tc>
        <w:tc>
          <w:tcPr>
            <w:tcW w:w="10530" w:type="dxa"/>
          </w:tcPr>
          <w:p w14:paraId="67576844" w14:textId="77777777" w:rsidR="0059099D" w:rsidRPr="001D0F44" w:rsidRDefault="0059099D" w:rsidP="00800C4E">
            <w:pPr>
              <w:rPr>
                <w:b/>
                <w:szCs w:val="24"/>
              </w:rPr>
            </w:pPr>
            <w:r w:rsidRPr="001D0F44">
              <w:rPr>
                <w:b/>
                <w:szCs w:val="24"/>
              </w:rPr>
              <w:t>Roundtable Discussion: Age of consent for adolescents seeking a medical forensic exam</w:t>
            </w:r>
          </w:p>
          <w:p w14:paraId="39E807C1" w14:textId="70629C57" w:rsidR="0059099D" w:rsidRPr="001D0F44" w:rsidRDefault="0059099D" w:rsidP="00800C4E">
            <w:pPr>
              <w:rPr>
                <w:szCs w:val="24"/>
              </w:rPr>
            </w:pPr>
          </w:p>
          <w:p w14:paraId="7EA0BFC2" w14:textId="6E39DBCA" w:rsidR="00962DA9" w:rsidRDefault="00962DA9" w:rsidP="00962DA9">
            <w:pPr>
              <w:rPr>
                <w:szCs w:val="24"/>
              </w:rPr>
            </w:pPr>
            <w:r w:rsidRPr="001D0F44">
              <w:rPr>
                <w:szCs w:val="24"/>
              </w:rPr>
              <w:t xml:space="preserve">Staff began by providing a recap of this issue.  Task Force members and sexual assault nurse examiners across the state have expressed interest in clarifying procedures for establishing consent for adolescents </w:t>
            </w:r>
            <w:r w:rsidR="001D0F44" w:rsidRPr="001D0F44">
              <w:rPr>
                <w:szCs w:val="24"/>
              </w:rPr>
              <w:t>seeking a medical forensic exam.  In Washington</w:t>
            </w:r>
            <w:r w:rsidRPr="001D0F44">
              <w:rPr>
                <w:szCs w:val="24"/>
              </w:rPr>
              <w:t>, minors can consent to behavioral health care at age 13 and repr</w:t>
            </w:r>
            <w:r w:rsidR="001D0F44" w:rsidRPr="001D0F44">
              <w:rPr>
                <w:szCs w:val="24"/>
              </w:rPr>
              <w:t xml:space="preserve">oductive health care at age 14.  For sexual assault forensic exams, there is variability - </w:t>
            </w:r>
            <w:r w:rsidRPr="001D0F44">
              <w:rPr>
                <w:szCs w:val="24"/>
              </w:rPr>
              <w:t xml:space="preserve">some facilities are interpreting age of consent for as 13, others as 14, and some have policies that minors cannot consent for a forensic exam.  </w:t>
            </w:r>
          </w:p>
          <w:p w14:paraId="3CB1D52F" w14:textId="60B45EA0" w:rsidR="001D0F44" w:rsidRDefault="001D0F44" w:rsidP="00962DA9">
            <w:pPr>
              <w:rPr>
                <w:szCs w:val="24"/>
              </w:rPr>
            </w:pPr>
          </w:p>
          <w:p w14:paraId="029F1398" w14:textId="471B15B3" w:rsidR="001D0F44" w:rsidRDefault="001D0F44" w:rsidP="00962DA9">
            <w:pPr>
              <w:rPr>
                <w:szCs w:val="24"/>
              </w:rPr>
            </w:pPr>
            <w:r>
              <w:rPr>
                <w:szCs w:val="24"/>
              </w:rPr>
              <w:t>Task Force members and guests discussed that in the absence of a specific statutory prescription from the Legislature, medical providers can apply the Mature Minor rule, which involves conducting a more nuanced assessment</w:t>
            </w:r>
            <w:r w:rsidR="002F40B0">
              <w:rPr>
                <w:szCs w:val="24"/>
              </w:rPr>
              <w:t xml:space="preserve"> and documenting</w:t>
            </w:r>
            <w:r>
              <w:rPr>
                <w:szCs w:val="24"/>
              </w:rPr>
              <w:t xml:space="preserve"> a youth’s capacity to understand the risks and benefits of forensic evidence collection and the awareness that they can </w:t>
            </w:r>
            <w:r w:rsidR="002F40B0">
              <w:rPr>
                <w:szCs w:val="24"/>
              </w:rPr>
              <w:t xml:space="preserve">decline to participate.  A legislative fix would be easier to apply and more consistent.  The group discussed potential options, such as establishing 14 as the age of consent for </w:t>
            </w:r>
            <w:r w:rsidR="006B2567">
              <w:rPr>
                <w:szCs w:val="24"/>
              </w:rPr>
              <w:t>forensic exams, codifying the Mature Minor rule for ages 7-13, and establishing that below a certain age, minors cannot consent.</w:t>
            </w:r>
            <w:r w:rsidR="0026375E">
              <w:rPr>
                <w:szCs w:val="24"/>
              </w:rPr>
              <w:t xml:space="preserve">  </w:t>
            </w:r>
          </w:p>
          <w:p w14:paraId="751C585A" w14:textId="19BD10B8" w:rsidR="0026375E" w:rsidRDefault="0026375E" w:rsidP="00962DA9">
            <w:pPr>
              <w:rPr>
                <w:szCs w:val="24"/>
              </w:rPr>
            </w:pPr>
          </w:p>
          <w:p w14:paraId="05373425" w14:textId="77C050E3" w:rsidR="0026375E" w:rsidRDefault="0026375E" w:rsidP="00962DA9">
            <w:pPr>
              <w:rPr>
                <w:szCs w:val="24"/>
              </w:rPr>
            </w:pPr>
            <w:r>
              <w:rPr>
                <w:szCs w:val="24"/>
              </w:rPr>
              <w:t>Even if adolescents at a particular age can consent to the forensic exam, reporting to Child Protective Services</w:t>
            </w:r>
            <w:r w:rsidR="00401B01">
              <w:rPr>
                <w:szCs w:val="24"/>
              </w:rPr>
              <w:t xml:space="preserve"> and law enforcement</w:t>
            </w:r>
            <w:r>
              <w:rPr>
                <w:szCs w:val="24"/>
              </w:rPr>
              <w:t xml:space="preserve"> is still mandatory.  This means that even if the parent does not know in the moment, it is important to convey to adolescents that the </w:t>
            </w:r>
            <w:r w:rsidR="00401B01">
              <w:rPr>
                <w:szCs w:val="24"/>
              </w:rPr>
              <w:t>incident</w:t>
            </w:r>
            <w:r>
              <w:rPr>
                <w:szCs w:val="24"/>
              </w:rPr>
              <w:t xml:space="preserve"> is not confidential.</w:t>
            </w:r>
            <w:r w:rsidR="00401B01">
              <w:rPr>
                <w:szCs w:val="24"/>
              </w:rPr>
              <w:t xml:space="preserve">  Participants emphasized the distinction between parental consent and parental notification.  The group discussed contacting the parent whenever possible, outside of situations where the parent is the perpetrator.</w:t>
            </w:r>
          </w:p>
          <w:p w14:paraId="627CAC57" w14:textId="218C36B6" w:rsidR="006B2567" w:rsidRDefault="006B2567" w:rsidP="00962DA9">
            <w:pPr>
              <w:rPr>
                <w:szCs w:val="24"/>
              </w:rPr>
            </w:pPr>
          </w:p>
          <w:p w14:paraId="1B1BA04A" w14:textId="0A85CBCB" w:rsidR="006B2567" w:rsidRDefault="00A60607" w:rsidP="00962DA9">
            <w:pPr>
              <w:rPr>
                <w:szCs w:val="24"/>
              </w:rPr>
            </w:pPr>
            <w:r>
              <w:rPr>
                <w:szCs w:val="24"/>
              </w:rPr>
              <w:t>Nurse Terri Stewart emphasized the importance of spending considerable time with a child to understand and allay their concerns about involving their parent.  She noted that after having such conversations, she rarely performs an exam without contacting the parent (approximately once a year).</w:t>
            </w:r>
            <w:r w:rsidR="00C832FE">
              <w:rPr>
                <w:szCs w:val="24"/>
              </w:rPr>
              <w:t xml:space="preserve">  Involving the parent also provides an opportunity to discuss community resources that may help the child.</w:t>
            </w:r>
          </w:p>
          <w:p w14:paraId="49E7E44A" w14:textId="687118B0" w:rsidR="00401B01" w:rsidRDefault="00401B01" w:rsidP="00962DA9">
            <w:pPr>
              <w:rPr>
                <w:szCs w:val="24"/>
              </w:rPr>
            </w:pPr>
          </w:p>
          <w:p w14:paraId="09C223BC" w14:textId="3A8DC71B" w:rsidR="001D0F44" w:rsidRPr="001D0F44" w:rsidRDefault="00401B01" w:rsidP="00962DA9">
            <w:pPr>
              <w:rPr>
                <w:szCs w:val="24"/>
              </w:rPr>
            </w:pPr>
            <w:r>
              <w:rPr>
                <w:szCs w:val="24"/>
              </w:rPr>
              <w:t>To follow-up, the Task Force would like to learn more about how adolescent consent for forensic exams works in practice in other states.</w:t>
            </w:r>
          </w:p>
          <w:p w14:paraId="4D1701D0" w14:textId="6C493A0E" w:rsidR="0059099D" w:rsidRPr="00684594" w:rsidRDefault="0059099D" w:rsidP="006B2567">
            <w:pPr>
              <w:rPr>
                <w:szCs w:val="24"/>
              </w:rPr>
            </w:pPr>
          </w:p>
        </w:tc>
      </w:tr>
      <w:tr w:rsidR="000716A7" w:rsidRPr="00684594" w14:paraId="30AB7360" w14:textId="77777777" w:rsidTr="00FC543E">
        <w:trPr>
          <w:trHeight w:val="1268"/>
        </w:trPr>
        <w:tc>
          <w:tcPr>
            <w:tcW w:w="450" w:type="dxa"/>
          </w:tcPr>
          <w:p w14:paraId="0D53D097" w14:textId="6FBDC4A8" w:rsidR="000716A7" w:rsidRPr="007E77E5" w:rsidRDefault="000716A7" w:rsidP="00A649AF">
            <w:r>
              <w:t>4</w:t>
            </w:r>
            <w:r w:rsidRPr="007E77E5">
              <w:t>.</w:t>
            </w:r>
          </w:p>
        </w:tc>
        <w:tc>
          <w:tcPr>
            <w:tcW w:w="10530" w:type="dxa"/>
          </w:tcPr>
          <w:p w14:paraId="1474DB76" w14:textId="5E8C4278" w:rsidR="000716A7" w:rsidRPr="001D0F44" w:rsidRDefault="000716A7" w:rsidP="00A649AF">
            <w:pPr>
              <w:rPr>
                <w:b/>
                <w:szCs w:val="24"/>
              </w:rPr>
            </w:pPr>
            <w:r w:rsidRPr="001D0F44">
              <w:rPr>
                <w:b/>
                <w:szCs w:val="24"/>
              </w:rPr>
              <w:t xml:space="preserve">Follow-up: Closing the loop on advocacy and medical adult emergency response protocols </w:t>
            </w:r>
          </w:p>
          <w:p w14:paraId="45DEE2B0" w14:textId="1591B07E" w:rsidR="0059099D" w:rsidRDefault="0059099D" w:rsidP="00A649AF">
            <w:pPr>
              <w:rPr>
                <w:b/>
                <w:sz w:val="22"/>
                <w:szCs w:val="22"/>
              </w:rPr>
            </w:pPr>
          </w:p>
          <w:p w14:paraId="45643754" w14:textId="31E676BC" w:rsidR="000716A7" w:rsidRDefault="00FC543E" w:rsidP="00CA6A43">
            <w:pPr>
              <w:rPr>
                <w:szCs w:val="24"/>
              </w:rPr>
            </w:pPr>
            <w:r>
              <w:t>B</w:t>
            </w:r>
            <w:r w:rsidRPr="00FC543E">
              <w:t>efore moving on to the proto</w:t>
            </w:r>
            <w:r>
              <w:t>cols for law enforcement in the coming year, t</w:t>
            </w:r>
            <w:r w:rsidR="0059099D" w:rsidRPr="00FC543E">
              <w:t xml:space="preserve">he Task Force had an opportunity to review a final draft of the advocacy and medical protocols </w:t>
            </w:r>
            <w:r>
              <w:t xml:space="preserve">that </w:t>
            </w:r>
            <w:r w:rsidR="007C21C8">
              <w:t>they have</w:t>
            </w:r>
            <w:r w:rsidR="00962DA9">
              <w:t xml:space="preserve"> worked</w:t>
            </w:r>
            <w:r w:rsidR="007C21C8">
              <w:t xml:space="preserve"> on</w:t>
            </w:r>
            <w:r w:rsidR="00962DA9">
              <w:t xml:space="preserve"> in multiple prior meetings, including the protocol development subgroup and the last full Task Force meeting</w:t>
            </w:r>
            <w:r w:rsidR="007A4055" w:rsidRPr="00FC543E">
              <w:t>.</w:t>
            </w:r>
          </w:p>
        </w:tc>
      </w:tr>
      <w:tr w:rsidR="00FD709D" w:rsidRPr="00684594" w14:paraId="3CA142C3" w14:textId="77777777" w:rsidTr="008C363C">
        <w:trPr>
          <w:trHeight w:val="359"/>
        </w:trPr>
        <w:tc>
          <w:tcPr>
            <w:tcW w:w="450" w:type="dxa"/>
          </w:tcPr>
          <w:p w14:paraId="0A20411E" w14:textId="5763697E" w:rsidR="00FD709D" w:rsidRDefault="00FD709D" w:rsidP="00434B6A">
            <w:r>
              <w:t>5.</w:t>
            </w:r>
            <w:bookmarkStart w:id="0" w:name="_GoBack"/>
            <w:bookmarkEnd w:id="0"/>
          </w:p>
        </w:tc>
        <w:tc>
          <w:tcPr>
            <w:tcW w:w="10530" w:type="dxa"/>
          </w:tcPr>
          <w:p w14:paraId="55956B03" w14:textId="0B0F3513" w:rsidR="00FD709D" w:rsidRDefault="00FD709D" w:rsidP="00800C4E">
            <w:pPr>
              <w:rPr>
                <w:b/>
              </w:rPr>
            </w:pPr>
            <w:r>
              <w:rPr>
                <w:b/>
              </w:rPr>
              <w:t>Reflections on the past year</w:t>
            </w:r>
          </w:p>
          <w:p w14:paraId="6173D518" w14:textId="6681A06B" w:rsidR="00FD709D" w:rsidRDefault="00FD709D" w:rsidP="00800C4E">
            <w:pPr>
              <w:rPr>
                <w:b/>
              </w:rPr>
            </w:pPr>
          </w:p>
          <w:p w14:paraId="77FD2834" w14:textId="7DD0163A" w:rsidR="00157F05" w:rsidRDefault="00FD709D" w:rsidP="00FD709D">
            <w:r w:rsidRPr="0059099D">
              <w:t xml:space="preserve">As this marks the last meeting of 2021, Task Force members had an opportunity to </w:t>
            </w:r>
            <w:r w:rsidR="0059099D" w:rsidRPr="0059099D">
              <w:t xml:space="preserve">reflect on the group’s guiding principles, </w:t>
            </w:r>
            <w:r w:rsidRPr="0059099D">
              <w:t xml:space="preserve">provide </w:t>
            </w:r>
            <w:r w:rsidR="0059099D" w:rsidRPr="0059099D">
              <w:t xml:space="preserve">feedback on the process, and weigh in on scheduling meetings for 2022.  </w:t>
            </w:r>
            <w:r w:rsidR="00157F05">
              <w:t>In re</w:t>
            </w:r>
            <w:r w:rsidR="007A4055">
              <w:t>gards to</w:t>
            </w:r>
            <w:r w:rsidR="00157F05">
              <w:t xml:space="preserve"> the guiding principle of working towards greater inclusion, the Task Force specifically called out the need </w:t>
            </w:r>
            <w:r w:rsidR="007A4055">
              <w:t xml:space="preserve">to include </w:t>
            </w:r>
            <w:r w:rsidR="00157F05">
              <w:t>Black, indigenous, and communities of color, as well as people living with</w:t>
            </w:r>
            <w:r w:rsidR="007A4055">
              <w:t xml:space="preserve"> disabilities.</w:t>
            </w:r>
          </w:p>
          <w:p w14:paraId="4447D99D" w14:textId="35ACF923" w:rsidR="007A4055" w:rsidRDefault="007A4055" w:rsidP="00FD709D"/>
          <w:p w14:paraId="47DE8AB5" w14:textId="53B5B026" w:rsidR="007A4055" w:rsidRDefault="007A4055" w:rsidP="00FD709D">
            <w:r>
              <w:t xml:space="preserve">Members expressed appreciation </w:t>
            </w:r>
            <w:r w:rsidR="007C21C8">
              <w:t xml:space="preserve">for </w:t>
            </w:r>
            <w:r>
              <w:t>opportunities to work together in small groups.</w:t>
            </w:r>
          </w:p>
          <w:p w14:paraId="179F4006" w14:textId="77777777" w:rsidR="00157F05" w:rsidRDefault="00157F05" w:rsidP="00FD709D"/>
          <w:p w14:paraId="15F41E49" w14:textId="73B6BC30" w:rsidR="00FD709D" w:rsidRPr="0059099D" w:rsidRDefault="00157F05" w:rsidP="00FD709D">
            <w:r>
              <w:t>Regarding scheduling, m</w:t>
            </w:r>
            <w:r w:rsidR="0059099D">
              <w:t>embers expressed a preference for scheduling all meetings of the full Task Force and sub-groups and canceling as the</w:t>
            </w:r>
            <w:r>
              <w:t xml:space="preserve"> need may arise.</w:t>
            </w:r>
            <w:r w:rsidR="007A4055">
              <w:t xml:space="preserve">  In addition, l</w:t>
            </w:r>
            <w:r w:rsidR="007A4055" w:rsidRPr="007A4055">
              <w:t xml:space="preserve">egislative session will be difficult for legislators and staff to </w:t>
            </w:r>
            <w:r w:rsidR="007A4055">
              <w:t>attend because it is a short 60-</w:t>
            </w:r>
            <w:r w:rsidR="007A4055" w:rsidRPr="007A4055">
              <w:t>day session</w:t>
            </w:r>
            <w:r w:rsidR="007A4055">
              <w:t>.</w:t>
            </w:r>
          </w:p>
          <w:p w14:paraId="3F1C52CC" w14:textId="6D294D8B" w:rsidR="00FD709D" w:rsidRDefault="00FD709D" w:rsidP="00A52C15">
            <w:pPr>
              <w:rPr>
                <w:szCs w:val="24"/>
              </w:rPr>
            </w:pPr>
          </w:p>
        </w:tc>
      </w:tr>
    </w:tbl>
    <w:p w14:paraId="004C3C46" w14:textId="24FF67E0" w:rsidR="00105B5F" w:rsidRDefault="00105B5F" w:rsidP="00612FD2">
      <w:pPr>
        <w:rPr>
          <w:szCs w:val="24"/>
        </w:rPr>
      </w:pPr>
    </w:p>
    <w:p w14:paraId="10BCFA9B" w14:textId="5ADDE8DF" w:rsidR="00FA19C3" w:rsidRDefault="00FA19C3" w:rsidP="00612FD2">
      <w:pPr>
        <w:rPr>
          <w:szCs w:val="24"/>
        </w:rPr>
      </w:pPr>
    </w:p>
    <w:p w14:paraId="1BAFF4DB" w14:textId="48513852" w:rsidR="00A60270" w:rsidRDefault="00A60270" w:rsidP="00A60270"/>
    <w:p w14:paraId="6EEA758E" w14:textId="33ACCBA3" w:rsidR="00A60270" w:rsidRDefault="00A60270" w:rsidP="00A60270"/>
    <w:p w14:paraId="167236B6" w14:textId="77777777" w:rsidR="00A60270" w:rsidRDefault="00A60270" w:rsidP="004C1D2E">
      <w:pPr>
        <w:pStyle w:val="ListParagraph"/>
      </w:pPr>
    </w:p>
    <w:sectPr w:rsidR="00A60270" w:rsidSect="00835F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E489" w14:textId="77777777" w:rsidR="00A6395B" w:rsidRDefault="00A6395B" w:rsidP="00A6395B">
      <w:r>
        <w:separator/>
      </w:r>
    </w:p>
  </w:endnote>
  <w:endnote w:type="continuationSeparator" w:id="0">
    <w:p w14:paraId="3605350B" w14:textId="77777777" w:rsidR="00A6395B" w:rsidRDefault="00A6395B" w:rsidP="00A6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261449"/>
      <w:docPartObj>
        <w:docPartGallery w:val="Page Numbers (Bottom of Page)"/>
        <w:docPartUnique/>
      </w:docPartObj>
    </w:sdtPr>
    <w:sdtEndPr>
      <w:rPr>
        <w:noProof/>
      </w:rPr>
    </w:sdtEndPr>
    <w:sdtContent>
      <w:p w14:paraId="552CDCCD" w14:textId="37DCCCC4" w:rsidR="000D7092" w:rsidRDefault="000D7092">
        <w:pPr>
          <w:pStyle w:val="Footer"/>
          <w:jc w:val="center"/>
        </w:pPr>
        <w:r>
          <w:fldChar w:fldCharType="begin"/>
        </w:r>
        <w:r>
          <w:instrText xml:space="preserve"> PAGE   \* MERGEFORMAT </w:instrText>
        </w:r>
        <w:r>
          <w:fldChar w:fldCharType="separate"/>
        </w:r>
        <w:r w:rsidR="00E86A7D">
          <w:rPr>
            <w:noProof/>
          </w:rPr>
          <w:t>3</w:t>
        </w:r>
        <w:r>
          <w:rPr>
            <w:noProof/>
          </w:rPr>
          <w:fldChar w:fldCharType="end"/>
        </w:r>
      </w:p>
    </w:sdtContent>
  </w:sdt>
  <w:p w14:paraId="1D1F5B11" w14:textId="77777777" w:rsidR="000D7092" w:rsidRDefault="000D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CC3D" w14:textId="77777777" w:rsidR="00A6395B" w:rsidRDefault="00A6395B" w:rsidP="00A6395B">
      <w:r>
        <w:separator/>
      </w:r>
    </w:p>
  </w:footnote>
  <w:footnote w:type="continuationSeparator" w:id="0">
    <w:p w14:paraId="4A312AD7" w14:textId="77777777" w:rsidR="00A6395B" w:rsidRDefault="00A6395B" w:rsidP="00A6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AE4F" w14:textId="2CF7DB6E" w:rsidR="001D0F44" w:rsidRDefault="001D0F44">
    <w:pPr>
      <w:pStyle w:val="Header"/>
    </w:pPr>
    <w:r>
      <w:t>Draft</w:t>
    </w:r>
  </w:p>
  <w:p w14:paraId="3BA9CD46" w14:textId="77777777" w:rsidR="00E86A7D" w:rsidRDefault="00E86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A87"/>
    <w:multiLevelType w:val="hybridMultilevel"/>
    <w:tmpl w:val="C8D88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532A2"/>
    <w:multiLevelType w:val="hybridMultilevel"/>
    <w:tmpl w:val="6E5C1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B786E"/>
    <w:multiLevelType w:val="hybridMultilevel"/>
    <w:tmpl w:val="D3BC5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B680E"/>
    <w:multiLevelType w:val="hybridMultilevel"/>
    <w:tmpl w:val="6DF27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C20CB"/>
    <w:multiLevelType w:val="hybridMultilevel"/>
    <w:tmpl w:val="6C3C9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E1718"/>
    <w:multiLevelType w:val="hybridMultilevel"/>
    <w:tmpl w:val="709E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92A6E"/>
    <w:multiLevelType w:val="hybridMultilevel"/>
    <w:tmpl w:val="63FE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54735"/>
    <w:multiLevelType w:val="hybridMultilevel"/>
    <w:tmpl w:val="E59890C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36D13E3F"/>
    <w:multiLevelType w:val="hybridMultilevel"/>
    <w:tmpl w:val="559CBF8E"/>
    <w:lvl w:ilvl="0" w:tplc="5B3ED9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6447"/>
    <w:multiLevelType w:val="hybridMultilevel"/>
    <w:tmpl w:val="A9A8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84CAC"/>
    <w:multiLevelType w:val="hybridMultilevel"/>
    <w:tmpl w:val="19DC7B10"/>
    <w:lvl w:ilvl="0" w:tplc="CA128F6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C02BE9"/>
    <w:multiLevelType w:val="hybridMultilevel"/>
    <w:tmpl w:val="50C0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207AE"/>
    <w:multiLevelType w:val="hybridMultilevel"/>
    <w:tmpl w:val="B5CA7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03C04"/>
    <w:multiLevelType w:val="hybridMultilevel"/>
    <w:tmpl w:val="336AD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251F1"/>
    <w:multiLevelType w:val="hybridMultilevel"/>
    <w:tmpl w:val="8864E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39598E"/>
    <w:multiLevelType w:val="hybridMultilevel"/>
    <w:tmpl w:val="14C66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97326"/>
    <w:multiLevelType w:val="hybridMultilevel"/>
    <w:tmpl w:val="7D9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1361A"/>
    <w:multiLevelType w:val="hybridMultilevel"/>
    <w:tmpl w:val="65E4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745742"/>
    <w:multiLevelType w:val="hybridMultilevel"/>
    <w:tmpl w:val="8E96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A77BC"/>
    <w:multiLevelType w:val="hybridMultilevel"/>
    <w:tmpl w:val="F546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C4548"/>
    <w:multiLevelType w:val="hybridMultilevel"/>
    <w:tmpl w:val="B8A0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51D70"/>
    <w:multiLevelType w:val="hybridMultilevel"/>
    <w:tmpl w:val="BF3A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11"/>
  </w:num>
  <w:num w:numId="5">
    <w:abstractNumId w:val="21"/>
  </w:num>
  <w:num w:numId="6">
    <w:abstractNumId w:val="12"/>
  </w:num>
  <w:num w:numId="7">
    <w:abstractNumId w:val="5"/>
  </w:num>
  <w:num w:numId="8">
    <w:abstractNumId w:val="1"/>
  </w:num>
  <w:num w:numId="9">
    <w:abstractNumId w:val="10"/>
  </w:num>
  <w:num w:numId="10">
    <w:abstractNumId w:val="6"/>
  </w:num>
  <w:num w:numId="11">
    <w:abstractNumId w:val="19"/>
  </w:num>
  <w:num w:numId="12">
    <w:abstractNumId w:val="13"/>
  </w:num>
  <w:num w:numId="13">
    <w:abstractNumId w:val="0"/>
  </w:num>
  <w:num w:numId="14">
    <w:abstractNumId w:val="2"/>
  </w:num>
  <w:num w:numId="15">
    <w:abstractNumId w:val="14"/>
  </w:num>
  <w:num w:numId="16">
    <w:abstractNumId w:val="16"/>
  </w:num>
  <w:num w:numId="17">
    <w:abstractNumId w:val="4"/>
  </w:num>
  <w:num w:numId="18">
    <w:abstractNumId w:val="20"/>
  </w:num>
  <w:num w:numId="19">
    <w:abstractNumId w:val="3"/>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C3"/>
    <w:rsid w:val="000007A1"/>
    <w:rsid w:val="00060F65"/>
    <w:rsid w:val="00063664"/>
    <w:rsid w:val="000650BB"/>
    <w:rsid w:val="000716A7"/>
    <w:rsid w:val="00073A83"/>
    <w:rsid w:val="00074E8A"/>
    <w:rsid w:val="0008122A"/>
    <w:rsid w:val="00090107"/>
    <w:rsid w:val="000B06FA"/>
    <w:rsid w:val="000D6E44"/>
    <w:rsid w:val="000D7092"/>
    <w:rsid w:val="000E3158"/>
    <w:rsid w:val="000E4431"/>
    <w:rsid w:val="00105B5F"/>
    <w:rsid w:val="0011705D"/>
    <w:rsid w:val="00134FC9"/>
    <w:rsid w:val="0014304A"/>
    <w:rsid w:val="00157F05"/>
    <w:rsid w:val="00180D10"/>
    <w:rsid w:val="00185B34"/>
    <w:rsid w:val="001878D1"/>
    <w:rsid w:val="001878F9"/>
    <w:rsid w:val="00191C9B"/>
    <w:rsid w:val="001B2CA2"/>
    <w:rsid w:val="001C5B6B"/>
    <w:rsid w:val="001D0F44"/>
    <w:rsid w:val="00205FEF"/>
    <w:rsid w:val="00207661"/>
    <w:rsid w:val="00212CCC"/>
    <w:rsid w:val="00237D1E"/>
    <w:rsid w:val="00240BC3"/>
    <w:rsid w:val="00242415"/>
    <w:rsid w:val="00253D25"/>
    <w:rsid w:val="00262D47"/>
    <w:rsid w:val="0026375E"/>
    <w:rsid w:val="00264CAE"/>
    <w:rsid w:val="002672C5"/>
    <w:rsid w:val="002D4F6A"/>
    <w:rsid w:val="002F40B0"/>
    <w:rsid w:val="002F7A3A"/>
    <w:rsid w:val="0030459A"/>
    <w:rsid w:val="0030658C"/>
    <w:rsid w:val="00316D6D"/>
    <w:rsid w:val="00325D2D"/>
    <w:rsid w:val="00333E74"/>
    <w:rsid w:val="003536B6"/>
    <w:rsid w:val="00354339"/>
    <w:rsid w:val="00361E06"/>
    <w:rsid w:val="00366ED9"/>
    <w:rsid w:val="003A30F9"/>
    <w:rsid w:val="003B280E"/>
    <w:rsid w:val="003E394D"/>
    <w:rsid w:val="00401B01"/>
    <w:rsid w:val="00416AF0"/>
    <w:rsid w:val="00434B6A"/>
    <w:rsid w:val="0044127C"/>
    <w:rsid w:val="004429D5"/>
    <w:rsid w:val="00446C8F"/>
    <w:rsid w:val="004473EF"/>
    <w:rsid w:val="0048722C"/>
    <w:rsid w:val="004C1D2E"/>
    <w:rsid w:val="004D1D43"/>
    <w:rsid w:val="004E1132"/>
    <w:rsid w:val="004E54FA"/>
    <w:rsid w:val="004F0253"/>
    <w:rsid w:val="00517E3E"/>
    <w:rsid w:val="00537667"/>
    <w:rsid w:val="00537B91"/>
    <w:rsid w:val="0054763F"/>
    <w:rsid w:val="00557129"/>
    <w:rsid w:val="00557D82"/>
    <w:rsid w:val="0059099D"/>
    <w:rsid w:val="005A4D8D"/>
    <w:rsid w:val="005C0D9B"/>
    <w:rsid w:val="005C1586"/>
    <w:rsid w:val="005C21E1"/>
    <w:rsid w:val="00612FD2"/>
    <w:rsid w:val="006172B3"/>
    <w:rsid w:val="00627339"/>
    <w:rsid w:val="0063453F"/>
    <w:rsid w:val="0065570C"/>
    <w:rsid w:val="00657BC3"/>
    <w:rsid w:val="00671886"/>
    <w:rsid w:val="00674006"/>
    <w:rsid w:val="00682401"/>
    <w:rsid w:val="00683BC9"/>
    <w:rsid w:val="006A3A6C"/>
    <w:rsid w:val="006A7EF4"/>
    <w:rsid w:val="006B2567"/>
    <w:rsid w:val="006B43F9"/>
    <w:rsid w:val="006C18D5"/>
    <w:rsid w:val="006C7674"/>
    <w:rsid w:val="006E363D"/>
    <w:rsid w:val="006E3C33"/>
    <w:rsid w:val="006E5E8B"/>
    <w:rsid w:val="006F3EDF"/>
    <w:rsid w:val="00716992"/>
    <w:rsid w:val="00717BCE"/>
    <w:rsid w:val="00732D15"/>
    <w:rsid w:val="00756AC6"/>
    <w:rsid w:val="0076221A"/>
    <w:rsid w:val="0076243E"/>
    <w:rsid w:val="007641B7"/>
    <w:rsid w:val="00767E53"/>
    <w:rsid w:val="00770DF6"/>
    <w:rsid w:val="00775D5E"/>
    <w:rsid w:val="0079311A"/>
    <w:rsid w:val="007A4055"/>
    <w:rsid w:val="007A51A8"/>
    <w:rsid w:val="007A7540"/>
    <w:rsid w:val="007C21C8"/>
    <w:rsid w:val="007C2DEB"/>
    <w:rsid w:val="007C528B"/>
    <w:rsid w:val="007E4AC0"/>
    <w:rsid w:val="007E5343"/>
    <w:rsid w:val="007E77E5"/>
    <w:rsid w:val="00800C4E"/>
    <w:rsid w:val="00807921"/>
    <w:rsid w:val="00810AFD"/>
    <w:rsid w:val="008145D6"/>
    <w:rsid w:val="00835FD9"/>
    <w:rsid w:val="00850BA1"/>
    <w:rsid w:val="00871F40"/>
    <w:rsid w:val="00873117"/>
    <w:rsid w:val="008B249C"/>
    <w:rsid w:val="008E26E1"/>
    <w:rsid w:val="00921C3A"/>
    <w:rsid w:val="00937F11"/>
    <w:rsid w:val="009431CB"/>
    <w:rsid w:val="00950451"/>
    <w:rsid w:val="00956A17"/>
    <w:rsid w:val="00962DA9"/>
    <w:rsid w:val="0096441D"/>
    <w:rsid w:val="009839BD"/>
    <w:rsid w:val="00991207"/>
    <w:rsid w:val="00994A3E"/>
    <w:rsid w:val="00996BB5"/>
    <w:rsid w:val="009B1912"/>
    <w:rsid w:val="009D10FA"/>
    <w:rsid w:val="00A10CEA"/>
    <w:rsid w:val="00A14C8B"/>
    <w:rsid w:val="00A30B15"/>
    <w:rsid w:val="00A60270"/>
    <w:rsid w:val="00A60607"/>
    <w:rsid w:val="00A6395B"/>
    <w:rsid w:val="00A67E7E"/>
    <w:rsid w:val="00A85083"/>
    <w:rsid w:val="00A86604"/>
    <w:rsid w:val="00A90744"/>
    <w:rsid w:val="00AB7F83"/>
    <w:rsid w:val="00AC1F3F"/>
    <w:rsid w:val="00AD323B"/>
    <w:rsid w:val="00AD41A2"/>
    <w:rsid w:val="00AD7BEE"/>
    <w:rsid w:val="00AE39D7"/>
    <w:rsid w:val="00B04593"/>
    <w:rsid w:val="00B068CC"/>
    <w:rsid w:val="00B269CC"/>
    <w:rsid w:val="00B34AE8"/>
    <w:rsid w:val="00B42866"/>
    <w:rsid w:val="00B6698B"/>
    <w:rsid w:val="00B938FA"/>
    <w:rsid w:val="00B9484B"/>
    <w:rsid w:val="00BC1E92"/>
    <w:rsid w:val="00BD5B0D"/>
    <w:rsid w:val="00BE2B15"/>
    <w:rsid w:val="00BF2A91"/>
    <w:rsid w:val="00BF43B4"/>
    <w:rsid w:val="00BF5981"/>
    <w:rsid w:val="00BF60AB"/>
    <w:rsid w:val="00C1186D"/>
    <w:rsid w:val="00C26539"/>
    <w:rsid w:val="00C76EE9"/>
    <w:rsid w:val="00C77227"/>
    <w:rsid w:val="00C832FE"/>
    <w:rsid w:val="00C85558"/>
    <w:rsid w:val="00CA6A43"/>
    <w:rsid w:val="00CB495F"/>
    <w:rsid w:val="00CB5016"/>
    <w:rsid w:val="00CC4575"/>
    <w:rsid w:val="00CD4AF0"/>
    <w:rsid w:val="00D2164C"/>
    <w:rsid w:val="00D707A9"/>
    <w:rsid w:val="00D741B6"/>
    <w:rsid w:val="00D83E22"/>
    <w:rsid w:val="00DA6F0B"/>
    <w:rsid w:val="00DB3919"/>
    <w:rsid w:val="00DC1367"/>
    <w:rsid w:val="00DE54E9"/>
    <w:rsid w:val="00DF0484"/>
    <w:rsid w:val="00DF1E91"/>
    <w:rsid w:val="00DF576C"/>
    <w:rsid w:val="00E14C3D"/>
    <w:rsid w:val="00E34586"/>
    <w:rsid w:val="00E35847"/>
    <w:rsid w:val="00E478CD"/>
    <w:rsid w:val="00E765F2"/>
    <w:rsid w:val="00E86A7D"/>
    <w:rsid w:val="00E97D99"/>
    <w:rsid w:val="00EA77FC"/>
    <w:rsid w:val="00EB268C"/>
    <w:rsid w:val="00ED5EA0"/>
    <w:rsid w:val="00EF372E"/>
    <w:rsid w:val="00EF56B7"/>
    <w:rsid w:val="00F02AB1"/>
    <w:rsid w:val="00F04D8C"/>
    <w:rsid w:val="00F123FC"/>
    <w:rsid w:val="00F3000A"/>
    <w:rsid w:val="00F4494F"/>
    <w:rsid w:val="00F560E1"/>
    <w:rsid w:val="00F62A6B"/>
    <w:rsid w:val="00FA19C3"/>
    <w:rsid w:val="00FA221E"/>
    <w:rsid w:val="00FA59D5"/>
    <w:rsid w:val="00FB15F6"/>
    <w:rsid w:val="00FC2E1C"/>
    <w:rsid w:val="00FC404C"/>
    <w:rsid w:val="00FC543E"/>
    <w:rsid w:val="00FD709D"/>
    <w:rsid w:val="00FD78DF"/>
    <w:rsid w:val="00FE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73EB45"/>
  <w15:chartTrackingRefBased/>
  <w15:docId w15:val="{07F3040C-38FB-4638-93CE-AB4B596F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B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BC3"/>
    <w:pPr>
      <w:ind w:left="720"/>
    </w:pPr>
    <w:rPr>
      <w:rFonts w:ascii="Calibri" w:hAnsi="Calibri"/>
      <w:sz w:val="22"/>
      <w:szCs w:val="22"/>
    </w:rPr>
  </w:style>
  <w:style w:type="character" w:styleId="Hyperlink">
    <w:name w:val="Hyperlink"/>
    <w:basedOn w:val="DefaultParagraphFont"/>
    <w:uiPriority w:val="99"/>
    <w:unhideWhenUsed/>
    <w:rsid w:val="005A4D8D"/>
    <w:rPr>
      <w:rFonts w:ascii="Times New Roman" w:hAnsi="Times New Roman" w:cs="Times New Roman" w:hint="default"/>
      <w:color w:val="0563C1"/>
      <w:u w:val="single"/>
    </w:rPr>
  </w:style>
  <w:style w:type="character" w:customStyle="1" w:styleId="inv-meeting-url">
    <w:name w:val="inv-meeting-url"/>
    <w:basedOn w:val="DefaultParagraphFont"/>
    <w:rsid w:val="005A4D8D"/>
    <w:rPr>
      <w:rFonts w:ascii="Times New Roman" w:hAnsi="Times New Roman" w:cs="Times New Roman" w:hint="default"/>
    </w:rPr>
  </w:style>
  <w:style w:type="paragraph" w:styleId="Header">
    <w:name w:val="header"/>
    <w:basedOn w:val="Normal"/>
    <w:link w:val="HeaderChar"/>
    <w:uiPriority w:val="99"/>
    <w:unhideWhenUsed/>
    <w:rsid w:val="00A6395B"/>
    <w:pPr>
      <w:tabs>
        <w:tab w:val="center" w:pos="4680"/>
        <w:tab w:val="right" w:pos="9360"/>
      </w:tabs>
    </w:pPr>
  </w:style>
  <w:style w:type="character" w:customStyle="1" w:styleId="HeaderChar">
    <w:name w:val="Header Char"/>
    <w:basedOn w:val="DefaultParagraphFont"/>
    <w:link w:val="Header"/>
    <w:uiPriority w:val="99"/>
    <w:rsid w:val="00A6395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6395B"/>
    <w:pPr>
      <w:tabs>
        <w:tab w:val="center" w:pos="4680"/>
        <w:tab w:val="right" w:pos="9360"/>
      </w:tabs>
    </w:pPr>
  </w:style>
  <w:style w:type="character" w:customStyle="1" w:styleId="FooterChar">
    <w:name w:val="Footer Char"/>
    <w:basedOn w:val="DefaultParagraphFont"/>
    <w:link w:val="Footer"/>
    <w:uiPriority w:val="99"/>
    <w:rsid w:val="00A6395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1186D"/>
    <w:rPr>
      <w:sz w:val="16"/>
      <w:szCs w:val="16"/>
    </w:rPr>
  </w:style>
  <w:style w:type="paragraph" w:styleId="CommentText">
    <w:name w:val="annotation text"/>
    <w:basedOn w:val="Normal"/>
    <w:link w:val="CommentTextChar"/>
    <w:uiPriority w:val="99"/>
    <w:semiHidden/>
    <w:unhideWhenUsed/>
    <w:rsid w:val="00C1186D"/>
    <w:rPr>
      <w:sz w:val="20"/>
    </w:rPr>
  </w:style>
  <w:style w:type="character" w:customStyle="1" w:styleId="CommentTextChar">
    <w:name w:val="Comment Text Char"/>
    <w:basedOn w:val="DefaultParagraphFont"/>
    <w:link w:val="CommentText"/>
    <w:uiPriority w:val="99"/>
    <w:semiHidden/>
    <w:rsid w:val="00C118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186D"/>
    <w:rPr>
      <w:b/>
      <w:bCs/>
    </w:rPr>
  </w:style>
  <w:style w:type="character" w:customStyle="1" w:styleId="CommentSubjectChar">
    <w:name w:val="Comment Subject Char"/>
    <w:basedOn w:val="CommentTextChar"/>
    <w:link w:val="CommentSubject"/>
    <w:uiPriority w:val="99"/>
    <w:semiHidden/>
    <w:rsid w:val="00C118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6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85083"/>
    <w:rPr>
      <w:color w:val="954F72" w:themeColor="followedHyperlink"/>
      <w:u w:val="single"/>
    </w:rPr>
  </w:style>
  <w:style w:type="paragraph" w:styleId="Title">
    <w:name w:val="Title"/>
    <w:basedOn w:val="Normal"/>
    <w:link w:val="TitleChar"/>
    <w:uiPriority w:val="1"/>
    <w:qFormat/>
    <w:rsid w:val="00FE1022"/>
    <w:pPr>
      <w:widowControl w:val="0"/>
      <w:autoSpaceDE w:val="0"/>
      <w:autoSpaceDN w:val="0"/>
      <w:spacing w:before="86"/>
      <w:ind w:left="652" w:right="652"/>
      <w:jc w:val="center"/>
    </w:pPr>
    <w:rPr>
      <w:b/>
      <w:bCs/>
      <w:sz w:val="32"/>
      <w:szCs w:val="32"/>
    </w:rPr>
  </w:style>
  <w:style w:type="character" w:customStyle="1" w:styleId="TitleChar">
    <w:name w:val="Title Char"/>
    <w:basedOn w:val="DefaultParagraphFont"/>
    <w:link w:val="Title"/>
    <w:uiPriority w:val="1"/>
    <w:rsid w:val="00FE1022"/>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FE1022"/>
    <w:pPr>
      <w:widowControl w:val="0"/>
      <w:autoSpaceDE w:val="0"/>
      <w:autoSpaceDN w:val="0"/>
      <w:spacing w:line="270" w:lineRule="exact"/>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5712">
      <w:bodyDiv w:val="1"/>
      <w:marLeft w:val="0"/>
      <w:marRight w:val="0"/>
      <w:marTop w:val="0"/>
      <w:marBottom w:val="0"/>
      <w:divBdr>
        <w:top w:val="none" w:sz="0" w:space="0" w:color="auto"/>
        <w:left w:val="none" w:sz="0" w:space="0" w:color="auto"/>
        <w:bottom w:val="none" w:sz="0" w:space="0" w:color="auto"/>
        <w:right w:val="none" w:sz="0" w:space="0" w:color="auto"/>
      </w:divBdr>
    </w:div>
    <w:div w:id="376005786">
      <w:bodyDiv w:val="1"/>
      <w:marLeft w:val="0"/>
      <w:marRight w:val="0"/>
      <w:marTop w:val="0"/>
      <w:marBottom w:val="0"/>
      <w:divBdr>
        <w:top w:val="none" w:sz="0" w:space="0" w:color="auto"/>
        <w:left w:val="none" w:sz="0" w:space="0" w:color="auto"/>
        <w:bottom w:val="none" w:sz="0" w:space="0" w:color="auto"/>
        <w:right w:val="none" w:sz="0" w:space="0" w:color="auto"/>
      </w:divBdr>
    </w:div>
    <w:div w:id="536698534">
      <w:bodyDiv w:val="1"/>
      <w:marLeft w:val="0"/>
      <w:marRight w:val="0"/>
      <w:marTop w:val="0"/>
      <w:marBottom w:val="0"/>
      <w:divBdr>
        <w:top w:val="none" w:sz="0" w:space="0" w:color="auto"/>
        <w:left w:val="none" w:sz="0" w:space="0" w:color="auto"/>
        <w:bottom w:val="none" w:sz="0" w:space="0" w:color="auto"/>
        <w:right w:val="none" w:sz="0" w:space="0" w:color="auto"/>
      </w:divBdr>
    </w:div>
    <w:div w:id="549655193">
      <w:bodyDiv w:val="1"/>
      <w:marLeft w:val="0"/>
      <w:marRight w:val="0"/>
      <w:marTop w:val="0"/>
      <w:marBottom w:val="0"/>
      <w:divBdr>
        <w:top w:val="none" w:sz="0" w:space="0" w:color="auto"/>
        <w:left w:val="none" w:sz="0" w:space="0" w:color="auto"/>
        <w:bottom w:val="none" w:sz="0" w:space="0" w:color="auto"/>
        <w:right w:val="none" w:sz="0" w:space="0" w:color="auto"/>
      </w:divBdr>
    </w:div>
    <w:div w:id="5859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portingoptions.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433F-9721-4375-A9FC-9DC590C9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Richburg, Kelly A (ATG)</dc:creator>
  <cp:keywords/>
  <dc:description/>
  <cp:lastModifiedBy>Richburg, Kelly A (ATG)</cp:lastModifiedBy>
  <cp:revision>9</cp:revision>
  <cp:lastPrinted>2021-09-21T17:16:00Z</cp:lastPrinted>
  <dcterms:created xsi:type="dcterms:W3CDTF">2022-10-05T17:03:00Z</dcterms:created>
  <dcterms:modified xsi:type="dcterms:W3CDTF">2022-10-05T20:21:00Z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1199341217</vt:i4>
  </property>
  <property fmtid="{D5CDD505-2E9C-101B-9397-08002B2CF9AE}" pid="3" name="_NewReviewCycle">
    <vt:lpwstr/>
  </property>
  <property fmtid="{D5CDD505-2E9C-101B-9397-08002B2CF9AE}" pid="4" name="_EmailSubject">
    <vt:lpwstr>Task Force website update w/ SAFE + SACCR materials</vt:lpwstr>
  </property>
  <property fmtid="{D5CDD505-2E9C-101B-9397-08002B2CF9AE}" pid="5" name="_AuthorEmail">
    <vt:lpwstr>lauren.vlas@atg.wa.gov</vt:lpwstr>
  </property>
  <property fmtid="{D5CDD505-2E9C-101B-9397-08002B2CF9AE}" pid="6" name="_AuthorEmailDisplayName">
    <vt:lpwstr>Vlas, Lauren (ATG)</vt:lpwstr>
  </property>
  <property fmtid="{D5CDD505-2E9C-101B-9397-08002B2CF9AE}" pid="7" name="_PreviousAdHocReviewCycleID">
    <vt:i4>-112584746</vt:i4>
  </property>
</Properties>
</file>